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418A8C7D" w:rsidR="00011887" w:rsidRPr="00CE0424" w:rsidRDefault="00011887" w:rsidP="00011887">
      <w:pPr>
        <w:pStyle w:val="3GPPHeader"/>
        <w:spacing w:after="60"/>
        <w:rPr>
          <w:sz w:val="32"/>
          <w:szCs w:val="32"/>
          <w:highlight w:val="yellow"/>
        </w:rPr>
      </w:pPr>
      <w:r w:rsidRPr="00CE0424">
        <w:t>3GPP TSG-RAN WG</w:t>
      </w:r>
      <w:r>
        <w:t>2</w:t>
      </w:r>
      <w:r w:rsidRPr="00CE0424">
        <w:t xml:space="preserve"> #</w:t>
      </w:r>
      <w:r w:rsidR="00615B2D">
        <w:t>100</w:t>
      </w:r>
      <w:r w:rsidRPr="00CE0424">
        <w:tab/>
      </w:r>
      <w:bookmarkStart w:id="0" w:name="_GoBack"/>
      <w:r w:rsidR="00024A73" w:rsidRPr="00024A73">
        <w:rPr>
          <w:sz w:val="32"/>
          <w:szCs w:val="32"/>
        </w:rPr>
        <w:t>R2-1713606</w:t>
      </w:r>
      <w:bookmarkEnd w:id="0"/>
    </w:p>
    <w:p w14:paraId="56C12257" w14:textId="0AC64ED0" w:rsidR="00E90E49" w:rsidRPr="00CE0424" w:rsidRDefault="00615B2D" w:rsidP="00357380">
      <w:pPr>
        <w:pStyle w:val="3GPPHeader"/>
      </w:pPr>
      <w:bookmarkStart w:id="1" w:name="_Hlk492541263"/>
      <w:r w:rsidRPr="00D846A4">
        <w:t>Reno, Nevada, 27</w:t>
      </w:r>
      <w:r w:rsidRPr="00615B2D">
        <w:rPr>
          <w:vertAlign w:val="superscript"/>
        </w:rPr>
        <w:t>th</w:t>
      </w:r>
      <w:r>
        <w:t xml:space="preserve"> Nov – 1</w:t>
      </w:r>
      <w:r w:rsidRPr="00615B2D">
        <w:rPr>
          <w:vertAlign w:val="superscript"/>
        </w:rPr>
        <w:t>st</w:t>
      </w:r>
      <w:r>
        <w:t xml:space="preserve"> </w:t>
      </w:r>
      <w:r w:rsidRPr="00D846A4">
        <w:t>Dec 2017</w:t>
      </w:r>
      <w:bookmarkEnd w:id="1"/>
      <w:r w:rsidR="00C23035">
        <w:t xml:space="preserve">                             (</w:t>
      </w:r>
      <w:r w:rsidR="00C23035" w:rsidRPr="00C23035">
        <w:t>resubmission of R2-</w:t>
      </w:r>
      <w:r w:rsidRPr="00615B2D">
        <w:t>1710850</w:t>
      </w:r>
      <w:r w:rsidR="00C23035">
        <w:t>)</w:t>
      </w:r>
    </w:p>
    <w:p w14:paraId="4A4F422A" w14:textId="326441ED" w:rsidR="00E90E49" w:rsidRPr="009F0A5A" w:rsidRDefault="00E90E49" w:rsidP="00311702">
      <w:pPr>
        <w:pStyle w:val="3GPPHeader"/>
        <w:rPr>
          <w:sz w:val="22"/>
          <w:szCs w:val="22"/>
          <w:lang w:val="en-US"/>
        </w:rPr>
      </w:pPr>
      <w:r w:rsidRPr="00B64DB1">
        <w:rPr>
          <w:sz w:val="22"/>
          <w:szCs w:val="22"/>
          <w:lang w:val="en-US"/>
        </w:rPr>
        <w:t>Agenda Item:</w:t>
      </w:r>
      <w:r w:rsidRPr="00B64DB1">
        <w:rPr>
          <w:sz w:val="22"/>
          <w:szCs w:val="22"/>
          <w:lang w:val="en-US"/>
        </w:rPr>
        <w:tab/>
      </w:r>
      <w:r w:rsidR="001140DC" w:rsidRPr="00B64DB1">
        <w:rPr>
          <w:sz w:val="22"/>
          <w:szCs w:val="22"/>
          <w:lang w:val="en-US"/>
        </w:rPr>
        <w:t>10.</w:t>
      </w:r>
      <w:r w:rsidR="00B64DB1" w:rsidRPr="00B64DB1">
        <w:rPr>
          <w:sz w:val="22"/>
          <w:szCs w:val="22"/>
          <w:lang w:val="en-US"/>
        </w:rPr>
        <w:t>2.11</w:t>
      </w:r>
      <w:r w:rsidR="005575AC">
        <w:rPr>
          <w:sz w:val="22"/>
          <w:szCs w:val="22"/>
          <w:lang w:val="en-US"/>
        </w:rPr>
        <w:t xml:space="preserve"> </w:t>
      </w:r>
    </w:p>
    <w:p w14:paraId="5DAA27F0" w14:textId="617F757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4DA7F15" w:rsidR="00E90E49" w:rsidRPr="00CE0424" w:rsidRDefault="003D3C45" w:rsidP="00311702">
      <w:pPr>
        <w:pStyle w:val="3GPPHeader"/>
        <w:rPr>
          <w:sz w:val="22"/>
          <w:szCs w:val="22"/>
        </w:rPr>
      </w:pPr>
      <w:r>
        <w:rPr>
          <w:sz w:val="22"/>
          <w:szCs w:val="22"/>
        </w:rPr>
        <w:t>Title:</w:t>
      </w:r>
      <w:r w:rsidR="00E90E49" w:rsidRPr="00CE0424">
        <w:rPr>
          <w:sz w:val="22"/>
          <w:szCs w:val="22"/>
        </w:rPr>
        <w:tab/>
      </w:r>
      <w:r w:rsidR="00FD6EE4">
        <w:rPr>
          <w:sz w:val="22"/>
          <w:szCs w:val="22"/>
        </w:rPr>
        <w:t>Conditional Handover</w:t>
      </w:r>
    </w:p>
    <w:p w14:paraId="65935703" w14:textId="442AEEC5" w:rsidR="00E90E49" w:rsidRPr="00F052FD" w:rsidRDefault="00E90E49" w:rsidP="00F052FD">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2" w:name="_Ref471484523"/>
      <w:r w:rsidRPr="00CE0424">
        <w:t>Introduction</w:t>
      </w:r>
      <w:bookmarkEnd w:id="2"/>
    </w:p>
    <w:p w14:paraId="6334941A" w14:textId="77776C49" w:rsidR="00853878"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120F2">
        <w:t>[1]</w:t>
      </w:r>
      <w:r w:rsidR="00E25A33">
        <w:fldChar w:fldCharType="end"/>
      </w:r>
      <w:r w:rsidR="00E25A33">
        <w:t xml:space="preserve"> </w:t>
      </w:r>
      <w:r>
        <w:t xml:space="preserve">whether NR should support a “conditional handover” to reduce the handover failures compared to LTE. </w:t>
      </w:r>
      <w:r w:rsidR="00A120F2">
        <w:t xml:space="preserve">Most companies supported the proposal but a final decision was not taken. In this </w:t>
      </w:r>
      <w:r w:rsidR="00054F93">
        <w:t>revision,</w:t>
      </w:r>
      <w:r w:rsidR="00A120F2">
        <w:t xml:space="preserve"> we try to address the concerns that were raised in the previous meeting. </w:t>
      </w:r>
    </w:p>
    <w:p w14:paraId="65C69124" w14:textId="5DF55570" w:rsidR="00A120F2" w:rsidRPr="00CE0424" w:rsidRDefault="00A120F2" w:rsidP="00CE0424">
      <w:pPr>
        <w:pStyle w:val="BodyText"/>
      </w:pPr>
      <w:r>
        <w:t>We would also like to point out that the solution described in this paper is different from other solutions that intend to accelerate a handover failure. The “conditional handover” described herein and discussed in the previous meeting intend to avoid such handover failures in the first place.</w:t>
      </w:r>
    </w:p>
    <w:p w14:paraId="363663C8" w14:textId="77777777" w:rsidR="00A120F2" w:rsidRDefault="00A120F2" w:rsidP="00A120F2">
      <w:pPr>
        <w:pStyle w:val="Heading1"/>
      </w:pPr>
      <w:bookmarkStart w:id="3" w:name="_Ref477972447"/>
      <w:r w:rsidRPr="00CE0424">
        <w:t>Discussion</w:t>
      </w:r>
      <w:bookmarkEnd w:id="3"/>
    </w:p>
    <w:p w14:paraId="7035B084" w14:textId="20A150E5" w:rsidR="006153EA" w:rsidRPr="00DE4EA4" w:rsidRDefault="00CF0A77" w:rsidP="006153EA">
      <w:r>
        <w:t xml:space="preserve">In earlier mobility studies for LTE, </w:t>
      </w:r>
      <w:r w:rsidR="006153EA">
        <w:t xml:space="preserve">RAN2 observed that the serving cell may not be able to convey the handover command </w:t>
      </w:r>
      <w:r w:rsidR="00732C0D">
        <w:t xml:space="preserve">timely. Lowering the </w:t>
      </w:r>
      <w:r>
        <w:t>time-to-trigger (</w:t>
      </w:r>
      <w:r w:rsidR="00732C0D">
        <w:t>TTT</w:t>
      </w:r>
      <w:r>
        <w:t>)</w:t>
      </w:r>
      <w:r w:rsidR="00732C0D">
        <w:t xml:space="preserve"> and the measurement hysteresis allowed to reduce the handover failure rate but also resulted in higher ping-pong probability. We expect that in NR these effects will be even more </w:t>
      </w:r>
      <w:r w:rsidR="00732C0D" w:rsidRPr="00DE4EA4">
        <w:t>pronounced when operating at higher frequency bands.</w:t>
      </w:r>
    </w:p>
    <w:p w14:paraId="56C1990F" w14:textId="77777777" w:rsidR="006153EA" w:rsidRPr="00DE4EA4" w:rsidRDefault="006153EA" w:rsidP="006153EA">
      <w:pPr>
        <w:pStyle w:val="Observation"/>
        <w:numPr>
          <w:ilvl w:val="0"/>
          <w:numId w:val="15"/>
        </w:numPr>
        <w:ind w:left="1701" w:hanging="1701"/>
        <w:textAlignment w:val="auto"/>
        <w:rPr>
          <w:lang w:val="en-US"/>
        </w:rPr>
      </w:pPr>
      <w:bookmarkStart w:id="4" w:name="_Toc461514225"/>
      <w:bookmarkStart w:id="5" w:name="_Toc463000883"/>
      <w:bookmarkStart w:id="6" w:name="_Toc463001397"/>
      <w:bookmarkStart w:id="7" w:name="_Toc463013022"/>
      <w:bookmarkStart w:id="8" w:name="_Toc463030102"/>
      <w:bookmarkStart w:id="9" w:name="_Toc463053252"/>
      <w:bookmarkStart w:id="10" w:name="_Toc463053289"/>
      <w:bookmarkStart w:id="11" w:name="_Toc466011539"/>
      <w:bookmarkStart w:id="12" w:name="_Toc471485785"/>
      <w:bookmarkStart w:id="13" w:name="_Toc471486533"/>
      <w:bookmarkStart w:id="14" w:name="_Toc471492265"/>
      <w:bookmarkStart w:id="15" w:name="_Toc471499740"/>
      <w:bookmarkStart w:id="16" w:name="_Toc471501324"/>
      <w:bookmarkStart w:id="17" w:name="_Toc473532940"/>
      <w:bookmarkStart w:id="18" w:name="_Toc473533018"/>
      <w:bookmarkStart w:id="19" w:name="_Toc473533369"/>
      <w:bookmarkStart w:id="20" w:name="_Toc477726043"/>
      <w:bookmarkStart w:id="21" w:name="_Toc477972465"/>
      <w:bookmarkStart w:id="22" w:name="_Toc477972559"/>
      <w:bookmarkStart w:id="23" w:name="_Toc477973277"/>
      <w:bookmarkStart w:id="24" w:name="_Toc477973290"/>
      <w:r w:rsidRPr="00DE4EA4">
        <w:rPr>
          <w:lang w:val="en-US"/>
        </w:rPr>
        <w:t>In some NR deployments and scenarios, the probability of HO failure could increase due to the dependency on the RRC signaling transmissions over the source node at a time when the UE has already moved into the coverage area of the target cell.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E4EA4">
        <w:rPr>
          <w:lang w:val="en-US"/>
        </w:rPr>
        <w:t xml:space="preserve"> </w:t>
      </w:r>
    </w:p>
    <w:p w14:paraId="629603A7" w14:textId="5456E64F"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25" w:name="_Toc463053253"/>
      <w:bookmarkStart w:id="26" w:name="_Toc463053290"/>
      <w:bookmarkStart w:id="27" w:name="_Toc466011542"/>
      <w:bookmarkStart w:id="28" w:name="_Toc471485786"/>
      <w:bookmarkStart w:id="29" w:name="_Toc471486534"/>
      <w:bookmarkStart w:id="30" w:name="_Toc471492266"/>
      <w:bookmarkStart w:id="31" w:name="_Toc471499741"/>
      <w:bookmarkStart w:id="32" w:name="_Toc471501319"/>
      <w:bookmarkStart w:id="33" w:name="_Toc473532941"/>
      <w:bookmarkStart w:id="34" w:name="_Toc473533019"/>
      <w:bookmarkStart w:id="35" w:name="_Toc473533370"/>
      <w:bookmarkStart w:id="36" w:name="_Toc477726044"/>
      <w:bookmarkStart w:id="37" w:name="_Toc477972469"/>
      <w:bookmarkStart w:id="38" w:name="_Toc477972564"/>
      <w:bookmarkStart w:id="39" w:name="_Toc477973278"/>
      <w:bookmarkStart w:id="40" w:name="_Toc477973291"/>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FD69D38" w14:textId="20BF8CF1" w:rsidR="006153EA" w:rsidRDefault="006153EA" w:rsidP="006153EA">
      <w:r>
        <w:t xml:space="preserve">Such a condition could e.g. </w:t>
      </w:r>
      <w:r w:rsidR="0049663C">
        <w:t>b</w:t>
      </w:r>
      <w:r w:rsidR="00A54556">
        <w:t xml:space="preserve">e that the UE detects out-of-synch for a configurable amount of time after sending the measurement report (same principle as T312 timer in LTE). Another example could </w:t>
      </w:r>
      <w:r>
        <w:t xml:space="preserve">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eastAsia="en-US"/>
        </w:rPr>
        <w:lastRenderedPageBreak/>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wps:txbx>
                          <wps:bodyPr wrap="square" rtlCol="0">
                            <a:spAutoFit/>
                          </wps:bodyPr>
                        </wps:wsp>
                      </wpg:grpSp>
                      <wpg:grpSp>
                        <wpg:cNvPr id="8" name="Group 8"/>
                        <wpg:cNvGrpSpPr/>
                        <wpg:grpSpPr>
                          <a:xfrm>
                            <a:off x="2429760" y="1326327"/>
                            <a:ext cx="1856285" cy="215265"/>
                            <a:chOff x="2429760" y="1326327"/>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299" y="1326327"/>
                              <a:ext cx="1175385" cy="215265"/>
                            </a:xfrm>
                            <a:prstGeom prst="rect">
                              <a:avLst/>
                            </a:prstGeom>
                            <a:noFill/>
                          </wps:spPr>
                          <wps:txbx>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63"/>
                            <a:ext cx="1851355" cy="217818"/>
                            <a:chOff x="2455153" y="1992563"/>
                            <a:chExt cx="1851355" cy="217818"/>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762" y="1992563"/>
                              <a:ext cx="1300480" cy="215265"/>
                            </a:xfrm>
                            <a:prstGeom prst="rect">
                              <a:avLst/>
                            </a:prstGeom>
                            <a:noFill/>
                          </wps:spPr>
                          <wps:txbx>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wps:txbx>
                          <wps:bodyPr wrap="none" rtlCol="0">
                            <a:spAutoFit/>
                          </wps:bodyPr>
                        </wps:wsp>
                      </wpg:grpSp>
                      <wpg:grpSp>
                        <wpg:cNvPr id="11" name="Group 11"/>
                        <wpg:cNvGrpSpPr/>
                        <wpg:grpSpPr>
                          <a:xfrm>
                            <a:off x="185360" y="2190548"/>
                            <a:ext cx="2219084" cy="339725"/>
                            <a:chOff x="185360" y="2190548"/>
                            <a:chExt cx="2219084" cy="339725"/>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136" y="2190548"/>
                              <a:ext cx="2072640" cy="339725"/>
                            </a:xfrm>
                            <a:prstGeom prst="rect">
                              <a:avLst/>
                            </a:prstGeom>
                            <a:noFill/>
                          </wps:spPr>
                          <wps:txbx>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202" y="3194844"/>
                            <a:ext cx="1869890" cy="215444"/>
                          </a:xfrm>
                          <a:prstGeom prst="rect">
                            <a:avLst/>
                          </a:prstGeom>
                          <a:noFill/>
                        </wps:spPr>
                        <wps:txbx>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89"/>
                            <a:ext cx="4070439" cy="225912"/>
                            <a:chOff x="180192" y="3545889"/>
                            <a:chExt cx="2219084" cy="225912"/>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52" y="3545889"/>
                              <a:ext cx="2072640" cy="215444"/>
                            </a:xfrm>
                            <a:prstGeom prst="rect">
                              <a:avLst/>
                            </a:prstGeom>
                            <a:noFill/>
                          </wps:spPr>
                          <wps:txbx>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29758" y="3838196"/>
                            <a:ext cx="1851355" cy="215266"/>
                            <a:chOff x="2429758" y="3838196"/>
                            <a:chExt cx="1851355" cy="215266"/>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3838196"/>
                              <a:ext cx="879475" cy="215265"/>
                            </a:xfrm>
                            <a:prstGeom prst="rect">
                              <a:avLst/>
                            </a:prstGeom>
                            <a:noFill/>
                          </wps:spPr>
                          <wps:txbx>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94653" y="4081521"/>
                            <a:ext cx="4080241" cy="215265"/>
                            <a:chOff x="194653" y="4081521"/>
                            <a:chExt cx="4080241" cy="21526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6111" y="4081521"/>
                              <a:ext cx="531495" cy="215265"/>
                            </a:xfrm>
                            <a:prstGeom prst="rect">
                              <a:avLst/>
                            </a:prstGeom>
                            <a:noFill/>
                          </wps:spPr>
                          <wps:txbx>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v:textbox>
                  </v:shape>
                </v:group>
                <v:group id="Group 8"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v:textbox>
                </v:roundrect>
                <v:group id="Group 10" o:spid="_x0000_s1047" style="position:absolute;left:24551;top:19925;width:18514;height:2178" coordorigin="24551,19925" coordsize="18513,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v:textbox>
                  </v:shape>
                </v:group>
                <v:group id="Group 11"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10830421" w14:textId="57EC8836" w:rsidR="006153EA" w:rsidRDefault="006153EA" w:rsidP="006153EA">
      <w:pPr>
        <w:pStyle w:val="Caption"/>
      </w:pPr>
      <w:bookmarkStart w:id="41" w:name="_Ref463051822"/>
      <w:r>
        <w:t xml:space="preserve">Figure </w:t>
      </w:r>
      <w:r>
        <w:fldChar w:fldCharType="begin"/>
      </w:r>
      <w:r>
        <w:instrText xml:space="preserve"> SEQ Figure \* ARABIC </w:instrText>
      </w:r>
      <w:r>
        <w:fldChar w:fldCharType="separate"/>
      </w:r>
      <w:r w:rsidR="00A120F2">
        <w:rPr>
          <w:noProof/>
        </w:rPr>
        <w:t>1</w:t>
      </w:r>
      <w:r>
        <w:fldChar w:fldCharType="end"/>
      </w:r>
      <w:bookmarkEnd w:id="41"/>
      <w:r>
        <w:t xml:space="preserve">: Conditional handover execution </w:t>
      </w:r>
    </w:p>
    <w:p w14:paraId="0D422D79" w14:textId="78E9914E" w:rsidR="006153EA" w:rsidRDefault="006153EA" w:rsidP="006153EA">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depicts an example with just a serving and a target </w:t>
      </w:r>
      <w:r w:rsidR="001F58BF">
        <w:t>cell</w:t>
      </w:r>
      <w:r>
        <w:t xml:space="preserve">. In </w:t>
      </w:r>
      <w:r w:rsidR="008B23D2">
        <w:t>practice,</w:t>
      </w:r>
      <w:r>
        <w:t xml:space="preserv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w:t>
      </w:r>
      <w:r w:rsidR="008B23D2">
        <w:t>those candidates</w:t>
      </w:r>
      <w:r>
        <w:t xml:space="preserv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158A0CEB"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w:t>
      </w:r>
      <w:r w:rsidR="008B23D2">
        <w:t>condition,</w:t>
      </w:r>
      <w:r>
        <w:t xml:space="preserve"> it should continue operating per its current RRC configuration, i.e., without applying the conditional HO command. </w:t>
      </w:r>
    </w:p>
    <w:p w14:paraId="62A5090A" w14:textId="3B571716" w:rsidR="001518C4" w:rsidRDefault="001518C4" w:rsidP="001518C4">
      <w:pPr>
        <w:pStyle w:val="Proposal"/>
      </w:pPr>
      <w:bookmarkStart w:id="42" w:name="_Toc471492267"/>
      <w:bookmarkStart w:id="43" w:name="_Toc471499742"/>
      <w:bookmarkStart w:id="44" w:name="_Toc471501320"/>
      <w:bookmarkStart w:id="45" w:name="_Toc473532942"/>
      <w:bookmarkStart w:id="46" w:name="_Toc473533020"/>
      <w:bookmarkStart w:id="47" w:name="_Toc473533371"/>
      <w:bookmarkStart w:id="48" w:name="_Toc477726045"/>
      <w:bookmarkStart w:id="49" w:name="_Toc477972470"/>
      <w:bookmarkStart w:id="50" w:name="_Toc477972565"/>
      <w:bookmarkStart w:id="51" w:name="_Toc477973279"/>
      <w:bookmarkStart w:id="52" w:name="_Toc477973292"/>
      <w:r>
        <w:lastRenderedPageBreak/>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42"/>
      <w:bookmarkEnd w:id="43"/>
      <w:bookmarkEnd w:id="44"/>
      <w:bookmarkEnd w:id="45"/>
      <w:bookmarkEnd w:id="46"/>
      <w:bookmarkEnd w:id="47"/>
      <w:bookmarkEnd w:id="48"/>
      <w:bookmarkEnd w:id="49"/>
      <w:bookmarkEnd w:id="50"/>
      <w:bookmarkEnd w:id="51"/>
      <w:bookmarkEnd w:id="52"/>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53" w:name="_Toc471492268"/>
      <w:bookmarkStart w:id="54" w:name="_Toc471499743"/>
      <w:bookmarkStart w:id="55" w:name="_Toc471501321"/>
      <w:bookmarkStart w:id="56" w:name="_Toc473532943"/>
      <w:bookmarkStart w:id="57" w:name="_Toc473533021"/>
      <w:bookmarkStart w:id="58" w:name="_Toc473533372"/>
      <w:bookmarkStart w:id="59" w:name="_Toc477726046"/>
      <w:bookmarkStart w:id="60" w:name="_Toc477972471"/>
      <w:bookmarkStart w:id="61" w:name="_Toc477972566"/>
      <w:bookmarkStart w:id="62" w:name="_Toc477973280"/>
      <w:bookmarkStart w:id="63" w:name="_Toc477973293"/>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53"/>
      <w:bookmarkEnd w:id="54"/>
      <w:bookmarkEnd w:id="55"/>
      <w:bookmarkEnd w:id="56"/>
      <w:bookmarkEnd w:id="57"/>
      <w:bookmarkEnd w:id="58"/>
      <w:bookmarkEnd w:id="59"/>
      <w:bookmarkEnd w:id="60"/>
      <w:bookmarkEnd w:id="61"/>
      <w:bookmarkEnd w:id="62"/>
      <w:bookmarkEnd w:id="63"/>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at the moment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before having executed the conditional HO to the target cell, that second reconfiguration impacts only the operation towards the source cell but not the pending HO command towards the target. Alternatively, the UE can store the RRC context used when receiving conditional HO command and then use that together with the delta received when HO is executed. This is similar to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64" w:name="_Ref471492208"/>
      <w:bookmarkStart w:id="65" w:name="_Toc471492269"/>
      <w:bookmarkStart w:id="66" w:name="_Toc471499744"/>
      <w:bookmarkStart w:id="67" w:name="_Toc473533022"/>
      <w:bookmarkStart w:id="68" w:name="_Toc473533373"/>
      <w:bookmarkStart w:id="69" w:name="_Toc477726047"/>
      <w:bookmarkStart w:id="70" w:name="_Toc477972472"/>
      <w:bookmarkStart w:id="71" w:name="_Toc477972567"/>
      <w:bookmarkStart w:id="72" w:name="_Toc477973281"/>
      <w:bookmarkStart w:id="73" w:name="_Toc477973294"/>
      <w:r>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64"/>
      <w:bookmarkEnd w:id="65"/>
      <w:bookmarkEnd w:id="66"/>
      <w:bookmarkEnd w:id="67"/>
      <w:bookmarkEnd w:id="68"/>
      <w:bookmarkEnd w:id="69"/>
      <w:bookmarkEnd w:id="70"/>
      <w:bookmarkEnd w:id="71"/>
      <w:bookmarkEnd w:id="72"/>
      <w:bookmarkEnd w:id="73"/>
      <w:r w:rsidRPr="009A5D55">
        <w:t xml:space="preserve"> </w:t>
      </w:r>
    </w:p>
    <w:p w14:paraId="049D0690" w14:textId="77777777" w:rsidR="00AB72DE" w:rsidRDefault="00AB72DE" w:rsidP="00AB72DE">
      <w:pPr>
        <w:pStyle w:val="Proposal"/>
      </w:pPr>
      <w:bookmarkStart w:id="74" w:name="_Toc471492270"/>
      <w:bookmarkStart w:id="75" w:name="_Toc471499745"/>
      <w:bookmarkStart w:id="76" w:name="_Toc473533023"/>
      <w:bookmarkStart w:id="77" w:name="_Toc473533374"/>
      <w:bookmarkStart w:id="78" w:name="_Toc477726048"/>
      <w:bookmarkStart w:id="79" w:name="_Toc477972473"/>
      <w:bookmarkStart w:id="80" w:name="_Toc477972568"/>
      <w:bookmarkStart w:id="81" w:name="_Toc477973282"/>
      <w:bookmarkStart w:id="82" w:name="_Toc477973295"/>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74"/>
      <w:bookmarkEnd w:id="75"/>
      <w:bookmarkEnd w:id="76"/>
      <w:bookmarkEnd w:id="77"/>
      <w:bookmarkEnd w:id="78"/>
      <w:bookmarkEnd w:id="79"/>
      <w:bookmarkEnd w:id="80"/>
      <w:bookmarkEnd w:id="81"/>
      <w:bookmarkEnd w:id="82"/>
      <w:r>
        <w:t xml:space="preserve"> </w:t>
      </w:r>
    </w:p>
    <w:p w14:paraId="17117C76" w14:textId="4DC0FC9E" w:rsidR="00AB72DE" w:rsidRDefault="00AB72DE" w:rsidP="00AB72DE">
      <w:r>
        <w:t xml:space="preserve">On the other hand, the network may decide to provide a new, updated conditional HO command for a target cell for which it had previously provided a conditional HO command. In this </w:t>
      </w:r>
      <w:r w:rsidR="008B23D2">
        <w:t>case,</w:t>
      </w:r>
      <w:r>
        <w:t xml:space="preserve"> the UE applies that new one instead of the previous one:</w:t>
      </w:r>
    </w:p>
    <w:p w14:paraId="14E06C8C" w14:textId="77777777" w:rsidR="00AB72DE" w:rsidRDefault="00AB72DE" w:rsidP="00AB72DE">
      <w:pPr>
        <w:pStyle w:val="Proposal"/>
      </w:pPr>
      <w:bookmarkStart w:id="83" w:name="_Toc471492271"/>
      <w:bookmarkStart w:id="84" w:name="_Toc471499746"/>
      <w:bookmarkStart w:id="85" w:name="_Toc473533024"/>
      <w:bookmarkStart w:id="86" w:name="_Toc473533375"/>
      <w:bookmarkStart w:id="87" w:name="_Toc477726049"/>
      <w:bookmarkStart w:id="88" w:name="_Toc477972474"/>
      <w:bookmarkStart w:id="89" w:name="_Toc477972569"/>
      <w:bookmarkStart w:id="90" w:name="_Toc477973283"/>
      <w:bookmarkStart w:id="91" w:name="_Toc477973296"/>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83"/>
      <w:bookmarkEnd w:id="84"/>
      <w:bookmarkEnd w:id="85"/>
      <w:bookmarkEnd w:id="86"/>
      <w:bookmarkEnd w:id="87"/>
      <w:bookmarkEnd w:id="88"/>
      <w:bookmarkEnd w:id="89"/>
      <w:bookmarkEnd w:id="90"/>
      <w:bookmarkEnd w:id="91"/>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4ACF059A" w:rsidR="00AB72DE" w:rsidRDefault="00AB72DE" w:rsidP="00AB72DE">
      <w:pPr>
        <w:pStyle w:val="Proposal"/>
      </w:pPr>
      <w:bookmarkStart w:id="92" w:name="_Toc471492272"/>
      <w:bookmarkStart w:id="93" w:name="_Toc471499747"/>
      <w:bookmarkStart w:id="94" w:name="_Toc473533025"/>
      <w:bookmarkStart w:id="95" w:name="_Toc473533376"/>
      <w:bookmarkStart w:id="96" w:name="_Toc477726050"/>
      <w:bookmarkStart w:id="97" w:name="_Toc477972475"/>
      <w:bookmarkStart w:id="98" w:name="_Toc477972570"/>
      <w:bookmarkStart w:id="99" w:name="_Toc477973284"/>
      <w:bookmarkStart w:id="100" w:name="_Toc477973297"/>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A120F2">
        <w:t>Proposal 4</w:t>
      </w:r>
      <w:r>
        <w:fldChar w:fldCharType="end"/>
      </w:r>
      <w:r>
        <w:t>).</w:t>
      </w:r>
      <w:bookmarkEnd w:id="92"/>
      <w:bookmarkEnd w:id="93"/>
      <w:bookmarkEnd w:id="94"/>
      <w:bookmarkEnd w:id="95"/>
      <w:bookmarkEnd w:id="96"/>
      <w:bookmarkEnd w:id="97"/>
      <w:bookmarkEnd w:id="98"/>
      <w:bookmarkEnd w:id="99"/>
      <w:bookmarkEnd w:id="100"/>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lastRenderedPageBreak/>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101" w:name="_Toc471492273"/>
      <w:bookmarkStart w:id="102" w:name="_Toc471499748"/>
      <w:bookmarkStart w:id="103" w:name="_Toc471501322"/>
      <w:bookmarkStart w:id="104" w:name="_Toc473532944"/>
      <w:bookmarkStart w:id="105" w:name="_Toc473533026"/>
      <w:bookmarkStart w:id="106" w:name="_Toc473533377"/>
    </w:p>
    <w:p w14:paraId="4239116C" w14:textId="7A583F4B" w:rsidR="005F7F4F" w:rsidRDefault="005F7F4F" w:rsidP="007658F2">
      <w:pPr>
        <w:pStyle w:val="Proposal"/>
      </w:pPr>
      <w:bookmarkStart w:id="107" w:name="_Toc477726051"/>
      <w:bookmarkStart w:id="108" w:name="_Toc477972476"/>
      <w:bookmarkStart w:id="109" w:name="_Toc477972571"/>
      <w:bookmarkStart w:id="110" w:name="_Toc477973285"/>
      <w:bookmarkStart w:id="111" w:name="_Toc477973298"/>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101"/>
      <w:bookmarkEnd w:id="102"/>
      <w:bookmarkEnd w:id="103"/>
      <w:bookmarkEnd w:id="104"/>
      <w:bookmarkEnd w:id="105"/>
      <w:bookmarkEnd w:id="106"/>
      <w:bookmarkEnd w:id="107"/>
      <w:bookmarkEnd w:id="108"/>
      <w:bookmarkEnd w:id="109"/>
      <w:bookmarkEnd w:id="110"/>
      <w:bookmarkEnd w:id="111"/>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112" w:name="_Toc471492274"/>
      <w:bookmarkStart w:id="113" w:name="_Toc471499749"/>
      <w:bookmarkStart w:id="114" w:name="_Toc471501323"/>
      <w:bookmarkStart w:id="115" w:name="_Toc473532945"/>
      <w:bookmarkStart w:id="116" w:name="_Toc473533027"/>
      <w:bookmarkStart w:id="117" w:name="_Toc473533378"/>
      <w:bookmarkStart w:id="118" w:name="_Toc477726052"/>
      <w:bookmarkStart w:id="119" w:name="_Toc477972477"/>
      <w:bookmarkStart w:id="120" w:name="_Toc477972572"/>
      <w:bookmarkStart w:id="121" w:name="_Toc477973286"/>
      <w:bookmarkStart w:id="122" w:name="_Toc477973299"/>
      <w:r>
        <w:t>The UE discards a pending conditional HO command when the condition has not been met within the validity period indicated in the HO command.</w:t>
      </w:r>
      <w:bookmarkEnd w:id="112"/>
      <w:bookmarkEnd w:id="113"/>
      <w:bookmarkEnd w:id="114"/>
      <w:bookmarkEnd w:id="115"/>
      <w:bookmarkEnd w:id="116"/>
      <w:bookmarkEnd w:id="117"/>
      <w:bookmarkEnd w:id="118"/>
      <w:bookmarkEnd w:id="119"/>
      <w:bookmarkEnd w:id="120"/>
      <w:bookmarkEnd w:id="121"/>
      <w:bookmarkEnd w:id="122"/>
    </w:p>
    <w:p w14:paraId="3C942EC6" w14:textId="1A30A4B5" w:rsidR="00DC6261" w:rsidRDefault="00DC6261" w:rsidP="00DC6261">
      <w:r>
        <w:t xml:space="preserve">We think that a procedure per the proposals in this section avoids any race conditions and does not suffer from problems as observed with the Activation Time in UMTS. </w:t>
      </w:r>
    </w:p>
    <w:p w14:paraId="572B6C40" w14:textId="0AACDC53" w:rsidR="00182866" w:rsidRDefault="00182866" w:rsidP="00DC6261">
      <w:r>
        <w:t xml:space="preserve">Besides the race condition some companies questioned the usefulness of the conditional handover and raised that similar mechanisms were standardized but not used in </w:t>
      </w:r>
      <w:r w:rsidRPr="006A2F2F">
        <w:t xml:space="preserve">GSM </w:t>
      </w:r>
      <w:r>
        <w:t xml:space="preserve">and </w:t>
      </w:r>
      <w:r w:rsidRPr="006A2F2F">
        <w:t xml:space="preserve">UTRAN. </w:t>
      </w:r>
      <w:r>
        <w:t>We would like to point out that</w:t>
      </w:r>
      <w:r w:rsidRPr="006A2F2F">
        <w:t>, in both systems the handover command was not associated with a measurement condition but just with a time</w:t>
      </w:r>
      <w:r>
        <w:t>, which can obviously not address the problem in the same way as a measurement condition</w:t>
      </w:r>
      <w:r w:rsidRPr="006A2F2F">
        <w:t>: To trigger the handover early (when the link from the source cell to the UE is still good) the serving cell must configure a low A3 event threshold. But as identified in the Rel-11/12 studies, there is a significant risk that the UE does finally not move to a cell that was identified by such a low threshold. RAN2 observed this as increased number of ping-pong. With a delayed handover command,</w:t>
      </w:r>
      <w:r>
        <w:t xml:space="preserve"> it may instead result in HOF, i.e., the </w:t>
      </w:r>
      <w:r w:rsidRPr="006A2F2F">
        <w:t>UE fails to connect to target since it has already moved back to the source when the delayed HO command is due. Therefore, we agree with other companies that raised concerns that the old UMTS/GERAN mechanism was not suitable and that it should not be introduced in NR in that way.</w:t>
      </w:r>
      <w:r>
        <w:t xml:space="preserve"> Nevertheless, a solution using a measurement condition is expected to address and resolve the issues identified in earlier studies. </w:t>
      </w:r>
    </w:p>
    <w:p w14:paraId="7E690B51" w14:textId="77777777" w:rsidR="00C01F33" w:rsidRPr="00CE0424" w:rsidRDefault="00C01F33" w:rsidP="00CE0424">
      <w:pPr>
        <w:pStyle w:val="Heading1"/>
      </w:pPr>
      <w:r w:rsidRPr="00CE0424">
        <w:t>Conclusion</w:t>
      </w:r>
    </w:p>
    <w:p w14:paraId="28F923E5" w14:textId="77777777" w:rsidR="00A120F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8E2BFDC" w14:textId="77777777" w:rsidR="00A120F2" w:rsidRPr="00A120F2" w:rsidRDefault="00A120F2">
      <w:pPr>
        <w:pStyle w:val="TOC1"/>
        <w:rPr>
          <w:rFonts w:asciiTheme="minorHAnsi" w:eastAsiaTheme="minorEastAsia" w:hAnsiTheme="minorHAnsi" w:cstheme="minorBidi"/>
          <w:b w:val="0"/>
          <w:sz w:val="22"/>
          <w:lang w:val="en-GB" w:eastAsia="de-DE"/>
        </w:rPr>
      </w:pPr>
      <w:r w:rsidRPr="00A61801">
        <w:t>Observation 1</w:t>
      </w:r>
      <w:r w:rsidRPr="00A120F2">
        <w:rPr>
          <w:rFonts w:asciiTheme="minorHAnsi" w:eastAsiaTheme="minorEastAsia" w:hAnsiTheme="minorHAnsi" w:cstheme="minorBidi"/>
          <w:b w:val="0"/>
          <w:sz w:val="22"/>
          <w:lang w:val="en-GB" w:eastAsia="de-DE"/>
        </w:rPr>
        <w:tab/>
      </w:r>
      <w:r w:rsidRPr="00A61801">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BF41E35" w14:textId="77777777" w:rsidR="00A120F2" w:rsidRDefault="008E065E">
      <w:pPr>
        <w:pStyle w:val="TOC1"/>
      </w:pPr>
      <w:r w:rsidRPr="00C628DF">
        <w:rPr>
          <w:b w:val="0"/>
        </w:rPr>
        <w:lastRenderedPageBreak/>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6F37BC7B" w14:textId="77777777" w:rsidR="00A120F2" w:rsidRPr="00A120F2" w:rsidRDefault="00A120F2">
      <w:pPr>
        <w:pStyle w:val="TOC1"/>
        <w:rPr>
          <w:rFonts w:asciiTheme="minorHAnsi" w:eastAsiaTheme="minorEastAsia" w:hAnsiTheme="minorHAnsi" w:cstheme="minorBidi"/>
          <w:b w:val="0"/>
          <w:sz w:val="22"/>
          <w:lang w:val="en-GB" w:eastAsia="de-DE"/>
        </w:rPr>
      </w:pPr>
      <w:r>
        <w:t>Proposal 1</w:t>
      </w:r>
      <w:r w:rsidRPr="00A120F2">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4846A3BC" w14:textId="77777777" w:rsidR="00A120F2" w:rsidRPr="00A120F2" w:rsidRDefault="00A120F2">
      <w:pPr>
        <w:pStyle w:val="TOC1"/>
        <w:rPr>
          <w:rFonts w:asciiTheme="minorHAnsi" w:eastAsiaTheme="minorEastAsia" w:hAnsiTheme="minorHAnsi" w:cstheme="minorBidi"/>
          <w:b w:val="0"/>
          <w:sz w:val="22"/>
          <w:lang w:val="en-GB" w:eastAsia="de-DE"/>
        </w:rPr>
      </w:pPr>
      <w:r>
        <w:t>Proposal 2</w:t>
      </w:r>
      <w:r w:rsidRPr="00A120F2">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904303F" w14:textId="77777777" w:rsidR="00A120F2" w:rsidRPr="00A120F2" w:rsidRDefault="00A120F2">
      <w:pPr>
        <w:pStyle w:val="TOC1"/>
        <w:rPr>
          <w:rFonts w:asciiTheme="minorHAnsi" w:eastAsiaTheme="minorEastAsia" w:hAnsiTheme="minorHAnsi" w:cstheme="minorBidi"/>
          <w:b w:val="0"/>
          <w:sz w:val="22"/>
          <w:lang w:val="en-GB" w:eastAsia="de-DE"/>
        </w:rPr>
      </w:pPr>
      <w:r>
        <w:t>Proposal 3</w:t>
      </w:r>
      <w:r w:rsidRPr="00A120F2">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0BBCFA2" w14:textId="77777777" w:rsidR="00A120F2" w:rsidRPr="00A120F2" w:rsidRDefault="00A120F2">
      <w:pPr>
        <w:pStyle w:val="TOC1"/>
        <w:rPr>
          <w:rFonts w:asciiTheme="minorHAnsi" w:eastAsiaTheme="minorEastAsia" w:hAnsiTheme="minorHAnsi" w:cstheme="minorBidi"/>
          <w:b w:val="0"/>
          <w:sz w:val="22"/>
          <w:lang w:val="en-GB" w:eastAsia="de-DE"/>
        </w:rPr>
      </w:pPr>
      <w:r>
        <w:t>Proposal 4</w:t>
      </w:r>
      <w:r w:rsidRPr="00A120F2">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14712C">
        <w:rPr>
          <w:i/>
        </w:rPr>
        <w:t>RRCConnectionReconfiguration</w:t>
      </w:r>
      <w:r>
        <w:t xml:space="preserve"> with </w:t>
      </w:r>
      <w:r w:rsidRPr="0014712C">
        <w:rPr>
          <w:i/>
        </w:rPr>
        <w:t>mobilityControlInfo</w:t>
      </w:r>
      <w:r>
        <w:t>.</w:t>
      </w:r>
    </w:p>
    <w:p w14:paraId="10193F2A" w14:textId="77777777" w:rsidR="00A120F2" w:rsidRPr="00A120F2" w:rsidRDefault="00A120F2">
      <w:pPr>
        <w:pStyle w:val="TOC1"/>
        <w:rPr>
          <w:rFonts w:asciiTheme="minorHAnsi" w:eastAsiaTheme="minorEastAsia" w:hAnsiTheme="minorHAnsi" w:cstheme="minorBidi"/>
          <w:b w:val="0"/>
          <w:sz w:val="22"/>
          <w:lang w:val="en-GB" w:eastAsia="de-DE"/>
        </w:rPr>
      </w:pPr>
      <w:r>
        <w:t>Proposal 5</w:t>
      </w:r>
      <w:r w:rsidRPr="00A120F2">
        <w:rPr>
          <w:rFonts w:asciiTheme="minorHAnsi" w:eastAsiaTheme="minorEastAsia" w:hAnsiTheme="minorHAnsi" w:cstheme="minorBidi"/>
          <w:b w:val="0"/>
          <w:sz w:val="22"/>
          <w:lang w:val="en-GB" w:eastAsia="de-DE"/>
        </w:rPr>
        <w:tab/>
      </w:r>
      <w:r>
        <w:t xml:space="preserve">If the UE receives a subsequent </w:t>
      </w:r>
      <w:r w:rsidRPr="0014712C">
        <w:rPr>
          <w:i/>
        </w:rPr>
        <w:t>RRCConnectionReconfiguration</w:t>
      </w:r>
      <w:r>
        <w:t xml:space="preserve"> without </w:t>
      </w:r>
      <w:r w:rsidRPr="0014712C">
        <w:rPr>
          <w:i/>
        </w:rPr>
        <w:t>mobilityControlInfo</w:t>
      </w:r>
      <w:r>
        <w:t xml:space="preserve"> for its source cell, it does not modify or discard the stored target cell configuration of the conditional HO command.</w:t>
      </w:r>
    </w:p>
    <w:p w14:paraId="3398E269" w14:textId="77777777" w:rsidR="00A120F2" w:rsidRPr="00A120F2" w:rsidRDefault="00A120F2">
      <w:pPr>
        <w:pStyle w:val="TOC1"/>
        <w:rPr>
          <w:rFonts w:asciiTheme="minorHAnsi" w:eastAsiaTheme="minorEastAsia" w:hAnsiTheme="minorHAnsi" w:cstheme="minorBidi"/>
          <w:b w:val="0"/>
          <w:sz w:val="22"/>
          <w:lang w:val="en-GB" w:eastAsia="de-DE"/>
        </w:rPr>
      </w:pPr>
      <w:r>
        <w:t>Proposal 6</w:t>
      </w:r>
      <w:r w:rsidRPr="00A120F2">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B3299CF" w14:textId="77777777" w:rsidR="00A120F2" w:rsidRPr="00A120F2" w:rsidRDefault="00A120F2">
      <w:pPr>
        <w:pStyle w:val="TOC1"/>
        <w:rPr>
          <w:rFonts w:asciiTheme="minorHAnsi" w:eastAsiaTheme="minorEastAsia" w:hAnsiTheme="minorHAnsi" w:cstheme="minorBidi"/>
          <w:b w:val="0"/>
          <w:sz w:val="22"/>
          <w:lang w:val="en-GB" w:eastAsia="de-DE"/>
        </w:rPr>
      </w:pPr>
      <w:r>
        <w:t>Proposal 7</w:t>
      </w:r>
      <w:r w:rsidRPr="00A120F2">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F434E80" w14:textId="77777777" w:rsidR="00A120F2" w:rsidRPr="00A120F2" w:rsidRDefault="00A120F2">
      <w:pPr>
        <w:pStyle w:val="TOC1"/>
        <w:rPr>
          <w:rFonts w:asciiTheme="minorHAnsi" w:eastAsiaTheme="minorEastAsia" w:hAnsiTheme="minorHAnsi" w:cstheme="minorBidi"/>
          <w:b w:val="0"/>
          <w:sz w:val="22"/>
          <w:lang w:val="en-GB" w:eastAsia="de-DE"/>
        </w:rPr>
      </w:pPr>
      <w:r>
        <w:t>Proposal 8</w:t>
      </w:r>
      <w:r w:rsidRPr="00A120F2">
        <w:rPr>
          <w:rFonts w:asciiTheme="minorHAnsi" w:eastAsiaTheme="minorEastAsia" w:hAnsiTheme="minorHAnsi" w:cstheme="minorBidi"/>
          <w:b w:val="0"/>
          <w:sz w:val="22"/>
          <w:lang w:val="en-GB" w:eastAsia="de-DE"/>
        </w:rPr>
        <w:tab/>
      </w:r>
      <w:r>
        <w:t xml:space="preserve">The UE discards all pending conditional HO commands when executing an </w:t>
      </w:r>
      <w:r w:rsidRPr="0014712C">
        <w:rPr>
          <w:i/>
        </w:rPr>
        <w:t>RRCConnectionReconfiguration</w:t>
      </w:r>
      <w:r>
        <w:t xml:space="preserve"> with </w:t>
      </w:r>
      <w:r w:rsidRPr="0014712C">
        <w:rPr>
          <w:i/>
        </w:rPr>
        <w:t>mobilityControlInfo</w:t>
      </w:r>
      <w:r>
        <w:t xml:space="preserve"> (conditional or regular; to source cell or to any neighbour cell).</w:t>
      </w:r>
    </w:p>
    <w:p w14:paraId="44275619" w14:textId="77777777" w:rsidR="00A120F2" w:rsidRPr="00A120F2" w:rsidRDefault="00A120F2">
      <w:pPr>
        <w:pStyle w:val="TOC1"/>
        <w:rPr>
          <w:rFonts w:asciiTheme="minorHAnsi" w:eastAsiaTheme="minorEastAsia" w:hAnsiTheme="minorHAnsi" w:cstheme="minorBidi"/>
          <w:b w:val="0"/>
          <w:sz w:val="22"/>
          <w:lang w:val="en-GB" w:eastAsia="de-DE"/>
        </w:rPr>
      </w:pPr>
      <w:r>
        <w:t>Proposal 9</w:t>
      </w:r>
      <w:r w:rsidRPr="00A120F2">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23" w:name="_In-sequence_SDU_delivery"/>
      <w:bookmarkEnd w:id="123"/>
      <w:r w:rsidRPr="00CE0424">
        <w:t>References</w:t>
      </w:r>
    </w:p>
    <w:bookmarkStart w:id="124" w:name="_Ref477726095"/>
    <w:p w14:paraId="586C81F6" w14:textId="4E10EDB1"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124"/>
    </w:p>
    <w:bookmarkStart w:id="125" w:name="_Ref477970055"/>
    <w:p w14:paraId="389DCB46" w14:textId="59F9DCEA"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25"/>
      <w:r w:rsidR="00E25A33">
        <w:t xml:space="preserve"> </w:t>
      </w:r>
    </w:p>
    <w:sectPr w:rsidR="00E25A3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6F0E7" w14:textId="77777777" w:rsidR="003B3F8C" w:rsidRDefault="003B3F8C">
      <w:r>
        <w:separator/>
      </w:r>
    </w:p>
  </w:endnote>
  <w:endnote w:type="continuationSeparator" w:id="0">
    <w:p w14:paraId="155189EC" w14:textId="77777777" w:rsidR="003B3F8C" w:rsidRDefault="003B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3DCEA70"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501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501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63A95" w14:textId="77777777" w:rsidR="003B3F8C" w:rsidRDefault="003B3F8C">
      <w:r>
        <w:separator/>
      </w:r>
    </w:p>
  </w:footnote>
  <w:footnote w:type="continuationSeparator" w:id="0">
    <w:p w14:paraId="714B0E5B" w14:textId="77777777" w:rsidR="003B3F8C" w:rsidRDefault="003B3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4A73"/>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67A84"/>
    <w:rsid w:val="00074231"/>
    <w:rsid w:val="00077E5F"/>
    <w:rsid w:val="0008036A"/>
    <w:rsid w:val="00081AE6"/>
    <w:rsid w:val="000855EB"/>
    <w:rsid w:val="00085B52"/>
    <w:rsid w:val="000866F2"/>
    <w:rsid w:val="0009009F"/>
    <w:rsid w:val="000913E3"/>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40DC"/>
    <w:rsid w:val="0011501D"/>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3DE"/>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07D6"/>
    <w:rsid w:val="002C41E6"/>
    <w:rsid w:val="002C6F31"/>
    <w:rsid w:val="002D071A"/>
    <w:rsid w:val="002D2267"/>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3F8C"/>
    <w:rsid w:val="003B7FE5"/>
    <w:rsid w:val="003C11C8"/>
    <w:rsid w:val="003C18FA"/>
    <w:rsid w:val="003C2702"/>
    <w:rsid w:val="003C4C81"/>
    <w:rsid w:val="003C7806"/>
    <w:rsid w:val="003D109F"/>
    <w:rsid w:val="003D2478"/>
    <w:rsid w:val="003D2FC4"/>
    <w:rsid w:val="003D3C45"/>
    <w:rsid w:val="003D5B1F"/>
    <w:rsid w:val="003E15FA"/>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1C92"/>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6252"/>
    <w:rsid w:val="00477768"/>
    <w:rsid w:val="00492BC5"/>
    <w:rsid w:val="004964F1"/>
    <w:rsid w:val="0049663C"/>
    <w:rsid w:val="004A16BC"/>
    <w:rsid w:val="004A2B94"/>
    <w:rsid w:val="004A2EA2"/>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6970"/>
    <w:rsid w:val="00554E19"/>
    <w:rsid w:val="005575AC"/>
    <w:rsid w:val="0056121F"/>
    <w:rsid w:val="00572505"/>
    <w:rsid w:val="00575D8F"/>
    <w:rsid w:val="00580202"/>
    <w:rsid w:val="005811BC"/>
    <w:rsid w:val="00582809"/>
    <w:rsid w:val="0058798C"/>
    <w:rsid w:val="005900FA"/>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15B2D"/>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4756"/>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07D11"/>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64A9"/>
    <w:rsid w:val="00A27785"/>
    <w:rsid w:val="00A30187"/>
    <w:rsid w:val="00A305D7"/>
    <w:rsid w:val="00A3448A"/>
    <w:rsid w:val="00A36297"/>
    <w:rsid w:val="00A41E2B"/>
    <w:rsid w:val="00A45B74"/>
    <w:rsid w:val="00A52E1D"/>
    <w:rsid w:val="00A54556"/>
    <w:rsid w:val="00A60CAD"/>
    <w:rsid w:val="00A61499"/>
    <w:rsid w:val="00A62A77"/>
    <w:rsid w:val="00A63483"/>
    <w:rsid w:val="00A657D7"/>
    <w:rsid w:val="00A660AC"/>
    <w:rsid w:val="00A67E6C"/>
    <w:rsid w:val="00A71B99"/>
    <w:rsid w:val="00A739D0"/>
    <w:rsid w:val="00A761D4"/>
    <w:rsid w:val="00A77877"/>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2E6"/>
    <w:rsid w:val="00B25750"/>
    <w:rsid w:val="00B2763F"/>
    <w:rsid w:val="00B27AAC"/>
    <w:rsid w:val="00B30929"/>
    <w:rsid w:val="00B372AA"/>
    <w:rsid w:val="00B40445"/>
    <w:rsid w:val="00B4149F"/>
    <w:rsid w:val="00B41888"/>
    <w:rsid w:val="00B42BDB"/>
    <w:rsid w:val="00B45A52"/>
    <w:rsid w:val="00B46175"/>
    <w:rsid w:val="00B47365"/>
    <w:rsid w:val="00B62AAA"/>
    <w:rsid w:val="00B64DB1"/>
    <w:rsid w:val="00B664C7"/>
    <w:rsid w:val="00B66EFE"/>
    <w:rsid w:val="00B72B0C"/>
    <w:rsid w:val="00B739F6"/>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3707"/>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F18FE"/>
    <w:rsid w:val="00EF4158"/>
    <w:rsid w:val="00EF5787"/>
    <w:rsid w:val="00EF60D0"/>
    <w:rsid w:val="00F0528D"/>
    <w:rsid w:val="00F052F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A20"/>
    <w:rsid w:val="00FE4C7B"/>
    <w:rsid w:val="00FE7336"/>
    <w:rsid w:val="00FE787C"/>
    <w:rsid w:val="00FE7D83"/>
    <w:rsid w:val="00FF45A5"/>
    <w:rsid w:val="00FF5C91"/>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5NUHHDQN7SK2-1-185309</_dlc_DocId>
    <TaxCatchAll xmlns="08b2df90-05d3-4030-90d4-c9feeb4a1cd9">
      <Value>10</Value>
      <Value>9</Value>
      <Value>8</Value>
      <Value>3</Value>
      <Value>1</Value>
    </TaxCatchAll>
    <_dlc_DocIdUrl xmlns="08b2df90-05d3-4030-90d4-c9feeb4a1cd9">
      <Url>https://ericoll.internal.ericsson.com/sites/star/_layouts/DocIdRedir.aspx?ID=5NUHHDQN7SK2-1-185309</Url>
      <Description>5NUHHDQN7SK2-1-185309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purl.org/dc/elements/1.1/"/>
    <ds:schemaRef ds:uri="http://schemas.microsoft.com/sharepoint/v4"/>
    <ds:schemaRef ds:uri="7789c8df-cd92-43c1-8a83-195dbc0f0a0a"/>
    <ds:schemaRef ds:uri="http://schemas.microsoft.com/office/2006/metadata/properties"/>
    <ds:schemaRef ds:uri="http://schemas.microsoft.com/office/2006/documentManagement/types"/>
    <ds:schemaRef ds:uri="08b2df90-05d3-4030-90d4-c9feeb4a1cd9"/>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D68270AB-1151-4B7A-9943-609F336A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Icaro-3</cp:lastModifiedBy>
  <cp:revision>2</cp:revision>
  <cp:lastPrinted>2008-01-31T06:09:00Z</cp:lastPrinted>
  <dcterms:created xsi:type="dcterms:W3CDTF">2017-11-17T02:23:00Z</dcterms:created>
  <dcterms:modified xsi:type="dcterms:W3CDTF">2017-11-17T02:23:00Z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56c67192-25a1-4422-925f-4787f6c59e70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